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6F" w:rsidRDefault="005F65B3">
      <w:r>
        <w:t>OJT</w:t>
      </w:r>
      <w:r w:rsidRPr="005F65B3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Teach to Your Audience</w:t>
      </w:r>
    </w:p>
    <w:p w:rsidR="007B7CD2" w:rsidRDefault="007B7CD2"/>
    <w:p w:rsidR="002F0BCE" w:rsidRDefault="002F0BCE">
      <w:r>
        <w:t>Do you know why Disney doesn’t produce racy movies? They know that their core audience is 5-12 year</w:t>
      </w:r>
      <w:r w:rsidR="001514A7">
        <w:t>s</w:t>
      </w:r>
      <w:r>
        <w:t xml:space="preserve"> old and their parents. A racy movie will not appeal to either of these groups. In fact when </w:t>
      </w:r>
      <w:proofErr w:type="spellStart"/>
      <w:r>
        <w:t>Miley</w:t>
      </w:r>
      <w:proofErr w:type="spellEnd"/>
      <w:r>
        <w:t xml:space="preserve"> Cyrus (AKA Hanna Montana) did a magazine spread that was a little racy all heck broke loose. Disney successfully buried the story and </w:t>
      </w:r>
      <w:r w:rsidR="00E317CB">
        <w:t>has wrapped Hanna Montana While Ms. Cyrus can express an older image without hurting her franchise.</w:t>
      </w:r>
    </w:p>
    <w:p w:rsidR="002F0BCE" w:rsidRDefault="002F0BCE">
      <w:r>
        <w:t xml:space="preserve"> </w:t>
      </w:r>
    </w:p>
    <w:p w:rsidR="002F0BCE" w:rsidRDefault="001514A7">
      <w:r>
        <w:t xml:space="preserve">How long has it been since your trainees have been in school? If the answer is less than 5 or 6 years then they are used to pretty high levels of production quality (professional production, color, flash animation, sound tracks, etc.). </w:t>
      </w:r>
      <w:r w:rsidR="00E317CB">
        <w:t>Having spent their childhood in front of TV, video games and computers t</w:t>
      </w:r>
      <w:r>
        <w:t xml:space="preserve">hey are sophisticated consumers of all kinds of media.  </w:t>
      </w:r>
      <w:r w:rsidR="002F0BCE">
        <w:t>What does this have to do with On the Job Training (OJT)?</w:t>
      </w:r>
      <w:r w:rsidR="002F0BCE" w:rsidRPr="002F0BCE">
        <w:t xml:space="preserve"> </w:t>
      </w:r>
      <w:r w:rsidR="002F0BCE">
        <w:t xml:space="preserve">If we want </w:t>
      </w:r>
      <w:r>
        <w:t xml:space="preserve">the training interaction </w:t>
      </w:r>
      <w:r w:rsidR="002F0BCE">
        <w:t>to be successful</w:t>
      </w:r>
      <w:r>
        <w:t xml:space="preserve"> (biggest learning for the hour or dollar spent) </w:t>
      </w:r>
      <w:r w:rsidR="002F0BCE">
        <w:t xml:space="preserve">we have to get with it!  </w:t>
      </w:r>
    </w:p>
    <w:p w:rsidR="002F0BCE" w:rsidRDefault="002F0BCE" w:rsidP="002F0BCE">
      <w:pPr>
        <w:pStyle w:val="ListParagraph"/>
        <w:numPr>
          <w:ilvl w:val="0"/>
          <w:numId w:val="2"/>
        </w:numPr>
      </w:pPr>
      <w:r>
        <w:t>If our training materials to aid OJT are dog eared photocopies (where the originals are lost and digital copies don’t exist we have a problem.</w:t>
      </w:r>
    </w:p>
    <w:p w:rsidR="001514A7" w:rsidRDefault="001514A7" w:rsidP="002F0BCE">
      <w:pPr>
        <w:pStyle w:val="ListParagraph"/>
        <w:numPr>
          <w:ilvl w:val="0"/>
          <w:numId w:val="2"/>
        </w:numPr>
      </w:pPr>
      <w:r>
        <w:t xml:space="preserve">If the materials are not snappy, colorful, </w:t>
      </w:r>
      <w:r w:rsidR="00E317CB">
        <w:t>and “</w:t>
      </w:r>
      <w:r>
        <w:t>fun” then we have a problem.</w:t>
      </w:r>
    </w:p>
    <w:p w:rsidR="002F0BCE" w:rsidRDefault="002F0BCE" w:rsidP="002F0BCE">
      <w:pPr>
        <w:pStyle w:val="ListParagraph"/>
        <w:numPr>
          <w:ilvl w:val="0"/>
          <w:numId w:val="2"/>
        </w:numPr>
      </w:pPr>
      <w:r>
        <w:t>If the copyright date leads with the digits 19 then we have a problem.</w:t>
      </w:r>
    </w:p>
    <w:p w:rsidR="002F0BCE" w:rsidRDefault="002F0BCE" w:rsidP="002F0BCE">
      <w:pPr>
        <w:pStyle w:val="ListParagraph"/>
        <w:numPr>
          <w:ilvl w:val="0"/>
          <w:numId w:val="2"/>
        </w:numPr>
      </w:pPr>
      <w:r>
        <w:t xml:space="preserve">If the material is so boring </w:t>
      </w:r>
      <w:r w:rsidR="001514A7">
        <w:t>that they could use it in a sleep lab to put people to sleep then we have a problem.</w:t>
      </w:r>
    </w:p>
    <w:p w:rsidR="002F0BCE" w:rsidRDefault="002F0BCE"/>
    <w:p w:rsidR="00700412" w:rsidRDefault="00700412" w:rsidP="00700412">
      <w:pPr>
        <w:rPr>
          <w:rStyle w:val="Strong"/>
        </w:rPr>
      </w:pPr>
      <w:r w:rsidRPr="00326FD2">
        <w:rPr>
          <w:rStyle w:val="Strong"/>
        </w:rPr>
        <w:t>Methods to consider for training:</w:t>
      </w:r>
    </w:p>
    <w:p w:rsidR="0023499D" w:rsidRDefault="0023499D" w:rsidP="00485117">
      <w:pPr>
        <w:pStyle w:val="ListParagraph"/>
        <w:widowControl w:val="0"/>
        <w:numPr>
          <w:ilvl w:val="0"/>
          <w:numId w:val="3"/>
        </w:numPr>
      </w:pPr>
      <w:r>
        <w:t>Written procedures</w:t>
      </w:r>
    </w:p>
    <w:p w:rsidR="0023499D" w:rsidRDefault="0023499D" w:rsidP="00485117">
      <w:pPr>
        <w:pStyle w:val="ListParagraph"/>
        <w:widowControl w:val="0"/>
        <w:numPr>
          <w:ilvl w:val="0"/>
          <w:numId w:val="3"/>
        </w:numPr>
      </w:pPr>
      <w:r>
        <w:t>Work packs (planned and with scope)</w:t>
      </w:r>
      <w:r w:rsidRPr="0023499D">
        <w:t xml:space="preserve"> </w:t>
      </w:r>
    </w:p>
    <w:p w:rsidR="00485117" w:rsidRDefault="0023499D" w:rsidP="004851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Picture process instruction</w:t>
      </w:r>
    </w:p>
    <w:p w:rsidR="00485117" w:rsidRDefault="0023499D" w:rsidP="004851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 xml:space="preserve">Coaching, 1 on 1 training and encouragement (especially good if you use the technique </w:t>
      </w:r>
      <w:proofErr w:type="spellStart"/>
      <w:r>
        <w:t>TSED</w:t>
      </w:r>
      <w:proofErr w:type="spellEnd"/>
      <w:r>
        <w:t xml:space="preserve"> - tell, show, have them explain, have them do). This technique is suitable for teaching important new skills where the high time investment is justifiable.</w:t>
      </w:r>
    </w:p>
    <w:p w:rsidR="00485117" w:rsidRDefault="00485117" w:rsidP="004851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 xml:space="preserve">OJT (On the Job Training)  </w:t>
      </w:r>
    </w:p>
    <w:p w:rsidR="00485117" w:rsidRDefault="0023499D" w:rsidP="004851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Case method:  Analyze a specific incident, problem, situation or company.</w:t>
      </w:r>
      <w:r w:rsidR="00485117">
        <w:t xml:space="preserve"> </w:t>
      </w:r>
      <w:r w:rsidR="00700412">
        <w:t xml:space="preserve">Correspondence:  Home study of commercially produced lessons. Can be adapted to </w:t>
      </w:r>
      <w:r w:rsidR="00485117">
        <w:t>tailor</w:t>
      </w:r>
      <w:r w:rsidR="00700412">
        <w:t xml:space="preserve"> training within a firm. In many cases the materials can be used again.</w:t>
      </w:r>
    </w:p>
    <w:p w:rsidR="0023499D" w:rsidRDefault="0023499D" w:rsidP="004851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Test beds</w:t>
      </w:r>
    </w:p>
    <w:p w:rsidR="0023499D" w:rsidRDefault="00700412" w:rsidP="004851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Books and reading materials:  Low cost method, good for people already skilled to add a specific skill or knowledge area. Permanent, can be referred to in the future and used by others.</w:t>
      </w:r>
    </w:p>
    <w:p w:rsidR="0023499D" w:rsidRDefault="00700412" w:rsidP="004851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Video and audio tapes:  These have the advantages of lecture, books, and demonstrations combined. Permanent, can be referred to in the future and used by others.</w:t>
      </w:r>
      <w:r w:rsidR="0023499D" w:rsidRPr="0023499D">
        <w:t xml:space="preserve"> </w:t>
      </w:r>
      <w:r w:rsidR="0023499D">
        <w:t>Visual instruction can be either Video or Animation</w:t>
      </w:r>
    </w:p>
    <w:p w:rsidR="00700412" w:rsidRDefault="00700412" w:rsidP="0048511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Conference:  Send someone to a public conference with a training program. Trainee can get exposure to many instructors, peers and vendors at the same time.</w:t>
      </w:r>
    </w:p>
    <w:p w:rsidR="00700412" w:rsidRDefault="00700412" w:rsidP="0048511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Cross-training:  Training someone skilled in one area with another skill or craft.</w:t>
      </w:r>
    </w:p>
    <w:p w:rsidR="00700412" w:rsidRDefault="00700412" w:rsidP="0048511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Demonstration:  Trainer shows trainee how to do something, clarifying or highlighting the best way to do something.</w:t>
      </w:r>
    </w:p>
    <w:p w:rsidR="00700412" w:rsidRDefault="00700412" w:rsidP="0048511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Laboratory:  Experiments designed to teach by discovery.</w:t>
      </w:r>
    </w:p>
    <w:p w:rsidR="00700412" w:rsidRDefault="00700412" w:rsidP="0048511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Lecture:  Trainer directly instructs trainees with the material to be learned. Provides basic information on a topic. Can introduce topics to many people at the same time.</w:t>
      </w:r>
    </w:p>
    <w:p w:rsidR="00700412" w:rsidRDefault="00700412" w:rsidP="0048511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 xml:space="preserve">Programmed learning:  Trainees go through material at their own speed. Can be accomplished </w:t>
      </w:r>
      <w:r>
        <w:lastRenderedPageBreak/>
        <w:t>through books, CDs or on-line lessons. Accommodation for trainees who need additional material in some texts.</w:t>
      </w:r>
    </w:p>
    <w:p w:rsidR="00700412" w:rsidRDefault="00700412" w:rsidP="0048511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Role play:  Trainee plays a role in a simulation of real situations, and learns by doing as well as through the reactions of the other role players.</w:t>
      </w:r>
    </w:p>
    <w:p w:rsidR="00700412" w:rsidRDefault="00700412" w:rsidP="0048511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Simulation:  Trainee is presented with a realistic scenario and the trainee works alone through problems and situations.</w:t>
      </w:r>
    </w:p>
    <w:p w:rsidR="00700412" w:rsidRDefault="00700412" w:rsidP="0048511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Distance training:  Using a computer and internet hookup to conduct training from a remote location. Several plants or buildings can share a great instructor at the same time.</w:t>
      </w:r>
    </w:p>
    <w:p w:rsidR="00700412" w:rsidRDefault="00700412" w:rsidP="0048511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</w:pPr>
      <w:r>
        <w:t>Distance degree programs: These programs combined several different channels for learning and are managed from a portal for the program and class.</w:t>
      </w:r>
    </w:p>
    <w:p w:rsidR="0023499D" w:rsidRDefault="0023499D"/>
    <w:p w:rsidR="0023499D" w:rsidRDefault="0023499D"/>
    <w:p w:rsidR="004F4EBA" w:rsidRDefault="004F4EBA">
      <w:r>
        <w:t xml:space="preserve">Is your maintenance department a transit stop for young </w:t>
      </w:r>
      <w:r w:rsidR="002F0BCE">
        <w:t>people?</w:t>
      </w:r>
      <w:r>
        <w:t xml:space="preserve"> What do they say about the opportunities at your firm? </w:t>
      </w:r>
    </w:p>
    <w:p w:rsidR="004F4EBA" w:rsidRDefault="004F4EBA"/>
    <w:p w:rsidR="004F4EBA" w:rsidRDefault="004F4EBA">
      <w:r>
        <w:t>Always design for a wide range of types and aptitudes of learners</w:t>
      </w:r>
    </w:p>
    <w:p w:rsidR="007B7CD2" w:rsidRDefault="004F4EBA">
      <w:r>
        <w:t>Read</w:t>
      </w:r>
    </w:p>
    <w:p w:rsidR="004F4EBA" w:rsidRDefault="004F4EBA">
      <w:r>
        <w:t xml:space="preserve">See </w:t>
      </w:r>
    </w:p>
    <w:p w:rsidR="004F4EBA" w:rsidRDefault="004F4EBA">
      <w:r>
        <w:t>Hear</w:t>
      </w:r>
    </w:p>
    <w:p w:rsidR="004F4EBA" w:rsidRDefault="004F4EBA">
      <w:r>
        <w:t>Do</w:t>
      </w:r>
    </w:p>
    <w:p w:rsidR="007B7CD2" w:rsidRDefault="007B7CD2"/>
    <w:p w:rsidR="004F4EBA" w:rsidRPr="004F4EBA" w:rsidRDefault="004F4EBA" w:rsidP="004F4EBA">
      <w:pPr>
        <w:rPr>
          <w:rStyle w:val="Strong"/>
          <w:b w:val="0"/>
        </w:rPr>
      </w:pPr>
      <w:r w:rsidRPr="004F4EBA">
        <w:rPr>
          <w:rStyle w:val="Strong"/>
          <w:b w:val="0"/>
        </w:rPr>
        <w:t xml:space="preserve">A simple and useful guide to the different levels of mastery of a skill or knowledge area: </w:t>
      </w:r>
    </w:p>
    <w:p w:rsidR="004F4EBA" w:rsidRPr="004F4EBA" w:rsidRDefault="002F0BCE" w:rsidP="004F4EBA">
      <w:pPr>
        <w:rPr>
          <w:rStyle w:val="Strong"/>
          <w:b w:val="0"/>
        </w:rPr>
      </w:pPr>
      <w:r>
        <w:rPr>
          <w:rStyle w:val="Strong"/>
          <w:b w:val="0"/>
        </w:rPr>
        <w:t>Phase 1:  Do not know</w:t>
      </w:r>
    </w:p>
    <w:p w:rsidR="004F4EBA" w:rsidRPr="004F4EBA" w:rsidRDefault="004F4EBA" w:rsidP="004F4EBA">
      <w:pPr>
        <w:rPr>
          <w:rStyle w:val="Strong"/>
          <w:b w:val="0"/>
        </w:rPr>
      </w:pPr>
      <w:r w:rsidRPr="004F4EBA">
        <w:rPr>
          <w:rStyle w:val="Strong"/>
          <w:b w:val="0"/>
        </w:rPr>
        <w:t>Phase 2:</w:t>
      </w:r>
      <w:r w:rsidR="002F0BCE">
        <w:rPr>
          <w:rStyle w:val="Strong"/>
          <w:b w:val="0"/>
        </w:rPr>
        <w:t xml:space="preserve">  Know the theory but cannot do</w:t>
      </w:r>
    </w:p>
    <w:p w:rsidR="004F4EBA" w:rsidRPr="004F4EBA" w:rsidRDefault="004F4EBA" w:rsidP="004F4EBA">
      <w:pPr>
        <w:rPr>
          <w:rStyle w:val="Strong"/>
          <w:b w:val="0"/>
        </w:rPr>
      </w:pPr>
      <w:r w:rsidRPr="004F4EBA">
        <w:rPr>
          <w:rStyle w:val="Strong"/>
          <w:b w:val="0"/>
        </w:rPr>
        <w:t>Phase 3:  Can do but cannot teach</w:t>
      </w:r>
    </w:p>
    <w:p w:rsidR="004F4EBA" w:rsidRPr="004F4EBA" w:rsidRDefault="004F4EBA" w:rsidP="004F4EBA">
      <w:pPr>
        <w:rPr>
          <w:rStyle w:val="Strong"/>
          <w:b w:val="0"/>
        </w:rPr>
      </w:pPr>
      <w:r w:rsidRPr="004F4EBA">
        <w:rPr>
          <w:rStyle w:val="Strong"/>
          <w:b w:val="0"/>
        </w:rPr>
        <w:t>Phase 4:  Can do</w:t>
      </w:r>
      <w:r w:rsidR="002F0BCE">
        <w:rPr>
          <w:rStyle w:val="Strong"/>
          <w:b w:val="0"/>
        </w:rPr>
        <w:t>,</w:t>
      </w:r>
      <w:r w:rsidRPr="004F4EBA">
        <w:rPr>
          <w:rStyle w:val="Strong"/>
          <w:b w:val="0"/>
        </w:rPr>
        <w:t xml:space="preserve"> teach</w:t>
      </w:r>
      <w:r w:rsidR="002F0BCE">
        <w:rPr>
          <w:rStyle w:val="Strong"/>
          <w:b w:val="0"/>
        </w:rPr>
        <w:t xml:space="preserve"> and explain</w:t>
      </w:r>
    </w:p>
    <w:p w:rsidR="004F4EBA" w:rsidRPr="004F4EBA" w:rsidRDefault="004F4EBA" w:rsidP="004F4EBA">
      <w:pPr>
        <w:rPr>
          <w:rStyle w:val="Strong"/>
          <w:b w:val="0"/>
        </w:rPr>
      </w:pPr>
    </w:p>
    <w:p w:rsidR="004F4EBA" w:rsidRDefault="004F4EBA" w:rsidP="004F4EBA"/>
    <w:p w:rsidR="004F4EBA" w:rsidRDefault="004F4EBA" w:rsidP="004F4EBA">
      <w:r>
        <w:t>2 years</w:t>
      </w:r>
    </w:p>
    <w:p w:rsidR="004F4EBA" w:rsidRDefault="004F4EBA" w:rsidP="004F4EBA">
      <w:r>
        <w:t>7 years</w:t>
      </w:r>
    </w:p>
    <w:p w:rsidR="004F4EBA" w:rsidRDefault="004F4EBA" w:rsidP="004F4EBA">
      <w:r>
        <w:t>12 years</w:t>
      </w:r>
    </w:p>
    <w:p w:rsidR="004F4EBA" w:rsidRDefault="004F4EBA" w:rsidP="004F4EBA">
      <w:r>
        <w:t>20 or more</w:t>
      </w:r>
    </w:p>
    <w:p w:rsidR="004F4EBA" w:rsidRDefault="004F4EBA" w:rsidP="004F4EBA"/>
    <w:p w:rsidR="004F4EBA" w:rsidRDefault="004F4EBA" w:rsidP="004F4EBA"/>
    <w:p w:rsidR="004F4EBA" w:rsidRDefault="004F4EBA">
      <w:r>
        <w:t>Build the training tool for the audience</w:t>
      </w:r>
    </w:p>
    <w:p w:rsidR="004F4EBA" w:rsidRDefault="004F4EBA"/>
    <w:p w:rsidR="004F4EBA" w:rsidRPr="00CC7DA7" w:rsidRDefault="004F4EBA" w:rsidP="004F4EBA">
      <w:pPr>
        <w:rPr>
          <w:rStyle w:val="Strong"/>
        </w:rPr>
      </w:pPr>
      <w:r w:rsidRPr="00CC7DA7">
        <w:rPr>
          <w:rStyle w:val="Strong"/>
        </w:rPr>
        <w:t>Quick questions for your current training practices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8"/>
        <w:gridCol w:w="1548"/>
      </w:tblGrid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Default="004F4EBA" w:rsidP="00E4281A">
            <w:r>
              <w:t>Is there a present</w:t>
            </w:r>
            <w:r w:rsidRPr="00CC7DA7">
              <w:t xml:space="preserve"> system of education and training for operators</w:t>
            </w:r>
            <w:r>
              <w:t>?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Pr="00CC7DA7" w:rsidRDefault="004F4EBA" w:rsidP="00E4281A">
            <w:r>
              <w:t>Do you have a written SOP with s</w:t>
            </w:r>
            <w:r w:rsidRPr="00CC7DA7">
              <w:t xml:space="preserve">teps </w:t>
            </w:r>
            <w:r>
              <w:t>for</w:t>
            </w:r>
            <w:r w:rsidRPr="00CC7DA7">
              <w:t xml:space="preserve"> educating and training activities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Pr="00CC7DA7" w:rsidRDefault="004F4EBA" w:rsidP="00E4281A">
            <w:r>
              <w:t>Are there s</w:t>
            </w:r>
            <w:r w:rsidRPr="00CC7DA7">
              <w:t>et policies, priorities</w:t>
            </w:r>
            <w:r>
              <w:t>, budgets</w:t>
            </w:r>
            <w:r w:rsidRPr="00CC7DA7">
              <w:t xml:space="preserve"> and goals</w:t>
            </w:r>
            <w:r>
              <w:t>?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Pr="00CC7DA7" w:rsidRDefault="004F4EBA" w:rsidP="00E4281A">
            <w:r>
              <w:t>Are employees t</w:t>
            </w:r>
            <w:r w:rsidRPr="00CC7DA7">
              <w:t>rain</w:t>
            </w:r>
            <w:r>
              <w:t>ed</w:t>
            </w:r>
            <w:r w:rsidRPr="00CC7DA7">
              <w:t xml:space="preserve"> for upgrading the TPM skills determined by analysis?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Default="004F4EBA" w:rsidP="00E4281A">
            <w:r>
              <w:t xml:space="preserve">Is </w:t>
            </w:r>
            <w:r w:rsidRPr="00CC7DA7">
              <w:t>training based on task analysis and existing candidate competencies</w:t>
            </w:r>
            <w:r>
              <w:t>?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Pr="00CC7DA7" w:rsidRDefault="004F4EBA" w:rsidP="00E4281A">
            <w:r>
              <w:t xml:space="preserve">Are </w:t>
            </w:r>
            <w:r w:rsidRPr="00CC7DA7">
              <w:t xml:space="preserve">candidates </w:t>
            </w:r>
            <w:r>
              <w:t>routinely p</w:t>
            </w:r>
            <w:r w:rsidRPr="00CC7DA7">
              <w:t>ost-test</w:t>
            </w:r>
            <w:r>
              <w:t>ed</w:t>
            </w:r>
            <w:r w:rsidRPr="00CC7DA7">
              <w:t xml:space="preserve"> to be sure materials were learned? If not, adjust approach.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Pr="00CC7DA7" w:rsidRDefault="004F4EBA" w:rsidP="00E4281A">
            <w:r>
              <w:t>Review</w:t>
            </w:r>
            <w:r w:rsidRPr="00CC7DA7">
              <w:t xml:space="preserve"> existing certificated operator programs or operator levels that exist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Pr="00CC7DA7" w:rsidRDefault="004F4EBA" w:rsidP="00E4281A">
            <w:r>
              <w:t>Is there an ongoing e</w:t>
            </w:r>
            <w:r w:rsidRPr="00CC7DA7">
              <w:t>valuation of activities and study future approaches</w:t>
            </w:r>
            <w:r>
              <w:t>?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Pr="00CC7DA7" w:rsidRDefault="004F4EBA" w:rsidP="00E4281A"/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Pr="00CC7DA7" w:rsidRDefault="004F4EBA" w:rsidP="00E4281A"/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Pr="00BC2931" w:rsidRDefault="004F4EBA" w:rsidP="00E4281A">
            <w:pPr>
              <w:rPr>
                <w:rStyle w:val="Strong"/>
              </w:rPr>
            </w:pPr>
            <w:r w:rsidRPr="00BC2931">
              <w:rPr>
                <w:rStyle w:val="Strong"/>
              </w:rPr>
              <w:t>Actions to take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Pr="00CC7DA7" w:rsidRDefault="004F4EBA" w:rsidP="00E4281A">
            <w:r w:rsidRPr="00CC7DA7">
              <w:t>Prepar</w:t>
            </w:r>
            <w:r>
              <w:t>e</w:t>
            </w:r>
            <w:r w:rsidRPr="00CC7DA7">
              <w:t xml:space="preserve"> training calendar</w:t>
            </w:r>
            <w:r>
              <w:t xml:space="preserve"> if one is not present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Pr="00CC7DA7" w:rsidRDefault="004F4EBA" w:rsidP="00E4281A"/>
        </w:tc>
      </w:tr>
      <w:tr w:rsidR="004F4EBA" w:rsidRPr="00CC7DA7" w:rsidTr="00E4281A">
        <w:tc>
          <w:tcPr>
            <w:tcW w:w="8028" w:type="dxa"/>
            <w:tcBorders>
              <w:right w:val="single" w:sz="4" w:space="0" w:color="auto"/>
            </w:tcBorders>
          </w:tcPr>
          <w:p w:rsidR="004F4EBA" w:rsidRDefault="004F4EBA" w:rsidP="00E4281A">
            <w:r w:rsidRPr="00CC7DA7">
              <w:t>Establish training system for operation and maintenance skills</w:t>
            </w:r>
            <w:r>
              <w:t xml:space="preserve"> if one is not present or not adequate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F4EBA" w:rsidRDefault="004F4EBA" w:rsidP="00E4281A"/>
          <w:p w:rsidR="004F4EBA" w:rsidRDefault="004F4EBA" w:rsidP="00E4281A"/>
        </w:tc>
      </w:tr>
    </w:tbl>
    <w:p w:rsidR="004F4EBA" w:rsidRDefault="004F4EBA" w:rsidP="004F4EBA"/>
    <w:p w:rsidR="004F4EBA" w:rsidRPr="001C614A" w:rsidRDefault="004F4EBA" w:rsidP="004F4EBA">
      <w:pPr>
        <w:rPr>
          <w:rStyle w:val="rssubheadChar"/>
          <w:rFonts w:eastAsiaTheme="minorHAnsi"/>
        </w:rPr>
      </w:pPr>
      <w:r w:rsidRPr="001C614A">
        <w:rPr>
          <w:rStyle w:val="rssubheadChar"/>
          <w:rFonts w:eastAsiaTheme="minorHAnsi"/>
        </w:rPr>
        <w:t>Considerations for running the training itself:</w:t>
      </w:r>
    </w:p>
    <w:p w:rsidR="004F4EBA" w:rsidRDefault="004F4EBA" w:rsidP="004F4EBA"/>
    <w:p w:rsidR="004F4EBA" w:rsidRDefault="004F4EBA" w:rsidP="004F4EBA">
      <w:r>
        <w:t>Check list for in-house training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8"/>
        <w:gridCol w:w="1902"/>
        <w:gridCol w:w="2706"/>
      </w:tblGrid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pPr>
              <w:rPr>
                <w:rStyle w:val="Strong"/>
              </w:rPr>
            </w:pPr>
            <w:r>
              <w:rPr>
                <w:rStyle w:val="Strong"/>
              </w:rPr>
              <w:t xml:space="preserve">Consideration  </w:t>
            </w:r>
            <w:r w:rsidRPr="00326FD2">
              <w:rPr>
                <w:rStyle w:val="Strong"/>
              </w:rPr>
              <w:t>(be specific)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>
            <w:pPr>
              <w:rPr>
                <w:rStyle w:val="Strong"/>
              </w:rPr>
            </w:pPr>
            <w:r w:rsidRPr="00326FD2">
              <w:rPr>
                <w:rStyle w:val="Strong"/>
              </w:rPr>
              <w:t>SPA*</w:t>
            </w: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>
            <w:pPr>
              <w:rPr>
                <w:rStyle w:val="Strong"/>
              </w:rPr>
            </w:pPr>
            <w:r w:rsidRPr="00326FD2">
              <w:rPr>
                <w:rStyle w:val="Strong"/>
              </w:rPr>
              <w:t>Next action date</w:t>
            </w:r>
          </w:p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Materials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Staff (inside, outside room)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Outside firms needed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Trainees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Structure (agenda)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Training Aids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Facilities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Accommodations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Food and refreshments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Dates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Travel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Promotion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 w:rsidRPr="00326FD2">
              <w:t xml:space="preserve">  Timing</w:t>
            </w:r>
            <w:r w:rsidRPr="00326FD2">
              <w:tab/>
            </w:r>
            <w:r w:rsidRPr="00326FD2">
              <w:tab/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  <w:tr w:rsidR="004F4EBA" w:rsidRPr="00326FD2" w:rsidTr="00E4281A">
        <w:tc>
          <w:tcPr>
            <w:tcW w:w="4968" w:type="dxa"/>
            <w:tcBorders>
              <w:right w:val="single" w:sz="4" w:space="0" w:color="auto"/>
            </w:tcBorders>
          </w:tcPr>
          <w:p w:rsidR="004F4EBA" w:rsidRPr="00326FD2" w:rsidRDefault="004F4EBA" w:rsidP="00E4281A">
            <w:r>
              <w:t>Add others…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4F4EBA" w:rsidRPr="00326FD2" w:rsidRDefault="004F4EBA" w:rsidP="00E4281A"/>
        </w:tc>
        <w:tc>
          <w:tcPr>
            <w:tcW w:w="2706" w:type="dxa"/>
            <w:tcBorders>
              <w:left w:val="single" w:sz="4" w:space="0" w:color="auto"/>
            </w:tcBorders>
          </w:tcPr>
          <w:p w:rsidR="004F4EBA" w:rsidRPr="00326FD2" w:rsidRDefault="004F4EBA" w:rsidP="00E4281A"/>
        </w:tc>
      </w:tr>
    </w:tbl>
    <w:p w:rsidR="004F4EBA" w:rsidRDefault="004F4EBA" w:rsidP="004F4EBA">
      <w:r>
        <w:t>SPA- Single Point Accountability (who is accountable to know what is going on?)</w:t>
      </w:r>
    </w:p>
    <w:p w:rsidR="004F4EBA" w:rsidRDefault="004F4EBA" w:rsidP="004F4EBA"/>
    <w:p w:rsidR="004F4EBA" w:rsidRDefault="004F4EBA" w:rsidP="004F4EBA">
      <w:pPr>
        <w:rPr>
          <w:rStyle w:val="Strong"/>
        </w:rPr>
      </w:pPr>
    </w:p>
    <w:p w:rsidR="004F4EBA" w:rsidRDefault="004F4EBA" w:rsidP="004F4EBA">
      <w:pPr>
        <w:rPr>
          <w:rStyle w:val="Strong"/>
        </w:rPr>
      </w:pPr>
    </w:p>
    <w:p w:rsidR="004F4EBA" w:rsidRDefault="004F4EBA" w:rsidP="004F4EBA">
      <w:pPr>
        <w:rPr>
          <w:rStyle w:val="Strong"/>
        </w:rPr>
      </w:pPr>
    </w:p>
    <w:p w:rsidR="004F4EBA" w:rsidRPr="005F65B3" w:rsidRDefault="004F4EBA"/>
    <w:sectPr w:rsidR="004F4EBA" w:rsidRPr="005F65B3" w:rsidSect="00082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2FDD"/>
    <w:multiLevelType w:val="hybridMultilevel"/>
    <w:tmpl w:val="CA20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B385E"/>
    <w:multiLevelType w:val="hybridMultilevel"/>
    <w:tmpl w:val="3E72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85423"/>
    <w:multiLevelType w:val="hybridMultilevel"/>
    <w:tmpl w:val="131C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2"/>
  <w:proofState w:spelling="clean" w:grammar="clean"/>
  <w:defaultTabStop w:val="720"/>
  <w:characterSpacingControl w:val="doNotCompress"/>
  <w:compat/>
  <w:rsids>
    <w:rsidRoot w:val="005F65B3"/>
    <w:rsid w:val="0008226F"/>
    <w:rsid w:val="0012687A"/>
    <w:rsid w:val="001514A7"/>
    <w:rsid w:val="0022048A"/>
    <w:rsid w:val="0023499D"/>
    <w:rsid w:val="002F0BCE"/>
    <w:rsid w:val="00485117"/>
    <w:rsid w:val="004F4EBA"/>
    <w:rsid w:val="005F65B3"/>
    <w:rsid w:val="0065498E"/>
    <w:rsid w:val="00700412"/>
    <w:rsid w:val="007B798B"/>
    <w:rsid w:val="007B7CD2"/>
    <w:rsid w:val="00846567"/>
    <w:rsid w:val="00995C53"/>
    <w:rsid w:val="00AF7FD4"/>
    <w:rsid w:val="00BD3CDA"/>
    <w:rsid w:val="00C211C4"/>
    <w:rsid w:val="00C441B1"/>
    <w:rsid w:val="00DB7221"/>
    <w:rsid w:val="00E317CB"/>
    <w:rsid w:val="00FD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48A"/>
  </w:style>
  <w:style w:type="paragraph" w:styleId="Heading1">
    <w:name w:val="heading 1"/>
    <w:basedOn w:val="Normal"/>
    <w:next w:val="Normal"/>
    <w:link w:val="Heading1Char"/>
    <w:uiPriority w:val="9"/>
    <w:qFormat/>
    <w:rsid w:val="0022048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48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48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48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48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48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48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48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48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4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4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048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4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4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4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48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48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4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048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048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48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048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048A"/>
    <w:rPr>
      <w:b/>
      <w:bCs/>
    </w:rPr>
  </w:style>
  <w:style w:type="character" w:styleId="Emphasis">
    <w:name w:val="Emphasis"/>
    <w:uiPriority w:val="20"/>
    <w:qFormat/>
    <w:rsid w:val="0022048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048A"/>
  </w:style>
  <w:style w:type="paragraph" w:styleId="ListParagraph">
    <w:name w:val="List Paragraph"/>
    <w:basedOn w:val="Normal"/>
    <w:uiPriority w:val="34"/>
    <w:qFormat/>
    <w:rsid w:val="002204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048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048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48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48A"/>
    <w:rPr>
      <w:b/>
      <w:bCs/>
      <w:i/>
      <w:iCs/>
    </w:rPr>
  </w:style>
  <w:style w:type="character" w:styleId="SubtleEmphasis">
    <w:name w:val="Subtle Emphasis"/>
    <w:uiPriority w:val="19"/>
    <w:qFormat/>
    <w:rsid w:val="0022048A"/>
    <w:rPr>
      <w:i/>
      <w:iCs/>
    </w:rPr>
  </w:style>
  <w:style w:type="character" w:styleId="IntenseEmphasis">
    <w:name w:val="Intense Emphasis"/>
    <w:uiPriority w:val="21"/>
    <w:qFormat/>
    <w:rsid w:val="0022048A"/>
    <w:rPr>
      <w:b/>
      <w:bCs/>
    </w:rPr>
  </w:style>
  <w:style w:type="character" w:styleId="SubtleReference">
    <w:name w:val="Subtle Reference"/>
    <w:uiPriority w:val="31"/>
    <w:qFormat/>
    <w:rsid w:val="0022048A"/>
    <w:rPr>
      <w:smallCaps/>
    </w:rPr>
  </w:style>
  <w:style w:type="character" w:styleId="IntenseReference">
    <w:name w:val="Intense Reference"/>
    <w:uiPriority w:val="32"/>
    <w:qFormat/>
    <w:rsid w:val="0022048A"/>
    <w:rPr>
      <w:smallCaps/>
      <w:spacing w:val="5"/>
      <w:u w:val="single"/>
    </w:rPr>
  </w:style>
  <w:style w:type="character" w:styleId="BookTitle">
    <w:name w:val="Book Title"/>
    <w:uiPriority w:val="33"/>
    <w:qFormat/>
    <w:rsid w:val="0022048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048A"/>
    <w:pPr>
      <w:outlineLvl w:val="9"/>
    </w:pPr>
  </w:style>
  <w:style w:type="paragraph" w:customStyle="1" w:styleId="rssubhead">
    <w:name w:val="rs subhead"/>
    <w:basedOn w:val="Normal"/>
    <w:link w:val="rssubheadChar"/>
    <w:rsid w:val="004F4EBA"/>
    <w:pPr>
      <w:keepNext/>
      <w:tabs>
        <w:tab w:val="center" w:pos="8880"/>
      </w:tabs>
      <w:spacing w:before="100" w:line="220" w:lineRule="atLeast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  <w:lang w:bidi="ar-SA"/>
    </w:rPr>
  </w:style>
  <w:style w:type="character" w:customStyle="1" w:styleId="rssubheadChar">
    <w:name w:val="rs subhead Char"/>
    <w:basedOn w:val="DefaultParagraphFont"/>
    <w:link w:val="rssubhead"/>
    <w:rsid w:val="004F4EBA"/>
    <w:rPr>
      <w:rFonts w:ascii="Times New Roman" w:eastAsia="Times New Roman" w:hAnsi="Times New Roman" w:cs="Times New Roman"/>
      <w:b/>
      <w:snapToGrid w:val="0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7</cp:revision>
  <dcterms:created xsi:type="dcterms:W3CDTF">2010-06-10T14:57:00Z</dcterms:created>
  <dcterms:modified xsi:type="dcterms:W3CDTF">2010-06-22T19:26:00Z</dcterms:modified>
</cp:coreProperties>
</file>